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</w:pPr>
      <w:r>
        <w:rPr>
          <w:rStyle w:val="Aucun"/>
          <w:rtl w:val="0"/>
          <w:lang w:val="fr-FR"/>
        </w:rPr>
        <w:t xml:space="preserve">Planning Hebdomadaire pour Freelances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</w:rPr>
        <w:t>Mod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</w:rPr>
        <w:t xml:space="preserve">le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Remplir</w:t>
      </w:r>
    </w:p>
    <w:p>
      <w:pPr>
        <w:pStyle w:val="Corps"/>
      </w:pPr>
      <w:r>
        <w:rPr>
          <w:rStyle w:val="Aucun"/>
          <w:rtl w:val="0"/>
          <w:lang w:val="fr-FR"/>
        </w:rPr>
        <w:t>Ce planning prend en compte vos diverses obligations : missions clients, t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>ches administratives,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veloppement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en-US"/>
        </w:rPr>
        <w:t>activit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et moments personnels. Vous pouvez le remplir et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adapter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votre emploi du temps.</w:t>
      </w:r>
    </w:p>
    <w:tbl>
      <w:tblPr>
        <w:tblW w:w="122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8"/>
        <w:gridCol w:w="1529"/>
        <w:gridCol w:w="1556"/>
        <w:gridCol w:w="1542"/>
        <w:gridCol w:w="1488"/>
        <w:gridCol w:w="1625"/>
        <w:gridCol w:w="1433"/>
        <w:gridCol w:w="1529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Horaire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Lundi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Mardi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Mercredi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Jeudi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Vendredi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Samedi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Dimanche</w:t>
            </w:r>
          </w:p>
        </w:tc>
      </w:tr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08h00-09h00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Routine matinale : planification de la journ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e / revue des priorit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Routine matinale : veille et apprentissage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Routine matinale : gestion administrative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Routine matinale : suivi des mails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Routine matinale : bilan de la semaine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09h00-12h00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Mission client 1 : 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â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che cr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ative ou strat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gique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Mission client 2 : recherche ou 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daction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Mission client 1 : 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visions et ajustements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Mission client 2 : pr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sentation ou reporting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veloppement: prospection ou networking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libre ou projet perso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libre ou projet perso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12h00-13h00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Pause 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jeuner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Pause 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jeuner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Pause 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jeuner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Pause 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jeuner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Pause 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jeuner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13h00-15h00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â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ches secondaires : mails, facturation, organisation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â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ches secondaires : suivis de projet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â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ches secondaires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: comptabilit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ou 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claration administrative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â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ches secondaires : gestion technique (site web, outils)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Finalisation de la semaine : ajustements de livrables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15h00-17h00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Mission client 1 : travail de fond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Mission client 2 : 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â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che op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rationnelle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Formation ou veille : mise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jour sur vos outils d'IA ou SEO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Mission client 1 : it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rations ou cr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ation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union ou feedback client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17h00-18h00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veloppement : mise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jour portfolio, strat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gie marketing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Pause ou activit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s personnelles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capitulatif de mi-semaine : ajustement planning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Pause ou activit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s personnelles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Cl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ô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ture administrative : factures et planification semaine suivante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18h00-19h00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 ou loisirs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 ou loisirs</w:t>
            </w:r>
          </w:p>
        </w:tc>
        <w:tc>
          <w:tcPr>
            <w:tcW w:type="dxa" w:w="1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 ou loisirs</w:t>
            </w:r>
          </w:p>
        </w:tc>
        <w:tc>
          <w:tcPr>
            <w:tcW w:type="dxa" w:w="14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 ou loisirs</w:t>
            </w:r>
          </w:p>
        </w:tc>
        <w:tc>
          <w:tcPr>
            <w:tcW w:type="dxa" w:w="1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 ou loisirs</w:t>
            </w:r>
          </w:p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Temps personnel</w:t>
            </w:r>
          </w:p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</w:pPr>
      <w:r>
        <w:rPr>
          <w:rStyle w:val="Aucun"/>
          <w:rtl w:val="0"/>
          <w:lang w:val="fr-FR"/>
        </w:rPr>
        <w:t>Astuce : Adaptez ce planning chaque semaine en fonction de vos priorit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et de votre charge de travail.</w:t>
      </w:r>
    </w:p>
    <w:sectPr>
      <w:headerReference w:type="default" r:id="rId4"/>
      <w:footerReference w:type="default" r:id="rId5"/>
      <w:pgSz w:w="15840" w:h="12240" w:orient="landscape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